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B24AB6" w:rsidRDefault="00000000">
      <w:pPr>
        <w:rPr>
          <w:b/>
        </w:rPr>
      </w:pPr>
      <w:bookmarkStart w:id="0" w:name="OLE_LINK106"/>
      <w:bookmarkStart w:id="1" w:name="OLE_LINK107"/>
      <w:r>
        <w:rPr>
          <w:b/>
        </w:rPr>
        <w:t xml:space="preserve">Oznámení o uložení projektu vnitrostátního rozdělení odštěpením sloučením do sbírky listin obchodního rejstříku </w:t>
      </w:r>
    </w:p>
    <w:p w14:paraId="00000002" w14:textId="77777777" w:rsidR="00B24AB6" w:rsidRDefault="00000000">
      <w:pPr>
        <w:rPr>
          <w:b/>
        </w:rPr>
      </w:pPr>
      <w:r>
        <w:rPr>
          <w:b/>
        </w:rPr>
        <w:t xml:space="preserve">Upozornění na práva věřitelů, zástupců zaměstnanců, popř. zaměstnanců a společníků nebo členů osob zúčastněných na přeměně </w:t>
      </w:r>
    </w:p>
    <w:p w14:paraId="00000003" w14:textId="77777777" w:rsidR="00B24AB6" w:rsidRDefault="00B24AB6">
      <w:pPr>
        <w:rPr>
          <w:b/>
        </w:rPr>
      </w:pPr>
    </w:p>
    <w:p w14:paraId="00000004" w14:textId="77777777" w:rsidR="00B24AB6" w:rsidRDefault="00000000">
      <w:r>
        <w:t xml:space="preserve">Společnost </w:t>
      </w:r>
      <w:r>
        <w:rPr>
          <w:b/>
        </w:rPr>
        <w:t xml:space="preserve">S &amp; </w:t>
      </w:r>
      <w:proofErr w:type="gramStart"/>
      <w:r>
        <w:rPr>
          <w:b/>
        </w:rPr>
        <w:t>S</w:t>
      </w:r>
      <w:proofErr w:type="gramEnd"/>
      <w:r>
        <w:rPr>
          <w:b/>
        </w:rPr>
        <w:t xml:space="preserve"> vzduchotechnika, s r.o.</w:t>
      </w:r>
      <w:r>
        <w:t xml:space="preserve">, společnost s ručením omezeným založená a existující podle českého práva se sídlem Horymírovo náměstí 1416/9, Radotín, 153 00 Praha 5, IČO: 45798885, zapsaná v OR u MS v Praze pod </w:t>
      </w:r>
      <w:proofErr w:type="spellStart"/>
      <w:r>
        <w:t>sp</w:t>
      </w:r>
      <w:proofErr w:type="spellEnd"/>
      <w:r>
        <w:t>. zn. C 10401 (</w:t>
      </w:r>
      <w:r>
        <w:rPr>
          <w:b/>
        </w:rPr>
        <w:t>Rozdělovaná společnost</w:t>
      </w:r>
      <w:r>
        <w:t>), a</w:t>
      </w:r>
    </w:p>
    <w:p w14:paraId="00000005" w14:textId="77777777" w:rsidR="00B24AB6" w:rsidRDefault="00B24AB6"/>
    <w:p w14:paraId="00000006" w14:textId="77777777" w:rsidR="00B24AB6" w:rsidRDefault="00000000">
      <w:r>
        <w:t xml:space="preserve">společnost </w:t>
      </w:r>
      <w:r>
        <w:rPr>
          <w:b/>
        </w:rPr>
        <w:t>Sedlák &amp; Sedlák reality s.r.o.</w:t>
      </w:r>
      <w:r>
        <w:t xml:space="preserve">, společnost s ručením omezeným založená a existující podle českého práva se sídlem Horymírovo náměstí 1416/9, Radotín, 153 00 Praha 5, IČO: 26137399, zapsaná v OR u MS v Praze pod </w:t>
      </w:r>
      <w:proofErr w:type="spellStart"/>
      <w:r>
        <w:t>sp</w:t>
      </w:r>
      <w:proofErr w:type="spellEnd"/>
      <w:r>
        <w:t>. zn. C 73510 (</w:t>
      </w:r>
      <w:r>
        <w:rPr>
          <w:b/>
        </w:rPr>
        <w:t>Nástupnická společnost</w:t>
      </w:r>
      <w:r>
        <w:t>)</w:t>
      </w:r>
    </w:p>
    <w:p w14:paraId="00000007" w14:textId="77777777" w:rsidR="00B24AB6" w:rsidRDefault="00B24AB6"/>
    <w:p w14:paraId="00000008" w14:textId="77777777" w:rsidR="00B24AB6" w:rsidRDefault="00000000">
      <w:r>
        <w:t xml:space="preserve">(Rozdělovaná společnost a Nástupnická společnost společně </w:t>
      </w:r>
      <w:r>
        <w:rPr>
          <w:b/>
        </w:rPr>
        <w:t>Zúčastněné společnosti</w:t>
      </w:r>
      <w:r>
        <w:t>),</w:t>
      </w:r>
    </w:p>
    <w:p w14:paraId="00000009" w14:textId="77777777" w:rsidR="00B24AB6" w:rsidRDefault="00B24AB6"/>
    <w:p w14:paraId="0000000A" w14:textId="77777777" w:rsidR="00B24AB6" w:rsidRDefault="00000000">
      <w:r>
        <w:t>tímto v souladu s § 33 odst. 1 písm. b) zákona č. 125/2008 Sb., o přeměnách obchodních společností a družstev, ve znění pozdějších předpisů (</w:t>
      </w:r>
      <w:r>
        <w:rPr>
          <w:b/>
        </w:rPr>
        <w:t>Zákon o přeměnách</w:t>
      </w:r>
      <w:r>
        <w:t>), oznamují, že spolu dn</w:t>
      </w:r>
      <w:r>
        <w:rPr>
          <w:highlight w:val="white"/>
        </w:rPr>
        <w:t xml:space="preserve">e 15. 11. 2024 vyhotovily </w:t>
      </w:r>
      <w:r>
        <w:t xml:space="preserve">projekt přeměny – vnitrostátního rozdělení odštěpením sloučením, který byl uložen u obou Zúčastněných společností do sbírky listin obchodního rejstříku vedeného Městským soudem v Praze. </w:t>
      </w:r>
    </w:p>
    <w:p w14:paraId="0000000B" w14:textId="77777777" w:rsidR="00B24AB6" w:rsidRDefault="00000000">
      <w:pPr>
        <w:spacing w:before="200"/>
        <w:rPr>
          <w:highlight w:val="white"/>
        </w:rPr>
      </w:pPr>
      <w:r>
        <w:t>Tento projekt přeměny – vnitrostátního rozdělení odštěpením sloučením – upravuje přeměnu Zúčastněných společností formou odštěpení určitého majetku (nemovitostí) z Rozdělované společnosti a sloučení tohoto odštěpeného majetku s existující Nástupnickou společností</w:t>
      </w:r>
      <w:r>
        <w:rPr>
          <w:highlight w:val="white"/>
        </w:rPr>
        <w:t xml:space="preserve"> (</w:t>
      </w:r>
      <w:r>
        <w:rPr>
          <w:b/>
          <w:highlight w:val="white"/>
        </w:rPr>
        <w:t>Přeměna</w:t>
      </w:r>
      <w:r>
        <w:rPr>
          <w:highlight w:val="white"/>
        </w:rPr>
        <w:t>).</w:t>
      </w:r>
    </w:p>
    <w:p w14:paraId="0000000C" w14:textId="77777777" w:rsidR="00B24AB6" w:rsidRDefault="00000000">
      <w:pPr>
        <w:spacing w:before="200" w:after="200"/>
        <w:rPr>
          <w:b/>
        </w:rPr>
      </w:pPr>
      <w:r>
        <w:rPr>
          <w:b/>
        </w:rPr>
        <w:t>1. Zúčastněné společnosti tímto upozorňují věřitele na následující práva podle § 35 až 39 Zákona o přeměnách v souvislosti s Přeměnou:</w:t>
      </w:r>
    </w:p>
    <w:p w14:paraId="0000000D" w14:textId="77777777" w:rsidR="00B24AB6" w:rsidRDefault="00000000">
      <w:pPr>
        <w:spacing w:after="200"/>
      </w:pPr>
      <w:r>
        <w:t xml:space="preserve">Věřitelé Zúčastněných společností, kteří přihlásí své nesplatné pohledávky do 3 měsíců ode dne, kdy se zápis přeměny do obchodního rejstříku stal účinným vůči třetím osobám, mohou požadovat poskytnutí dostatečného zajištění, jestliže se v důsledku přeměny zhorší dobytnost jejich dosud nesplatných pohledávek ze závazků vzniklých před zveřejněním projektu přeměny podle § 33 Zákona o přeměnách nebo jeho uveřejněním podle § 33a Zákona o přeměnách; to platí obdobně i pro pohledávky budoucí nebo podmíněné. </w:t>
      </w:r>
    </w:p>
    <w:p w14:paraId="0000000E" w14:textId="77777777" w:rsidR="00B24AB6" w:rsidRDefault="00000000">
      <w:pPr>
        <w:spacing w:after="200"/>
      </w:pPr>
      <w:r>
        <w:t xml:space="preserve">Nedojde-li mezi věřitelem a Zúčastněnou společností k dohodě o způsobu zajištění pohledávky, zřídí dostatečné zajištění soud na návrh věřitele, který osvědčí skutečnosti nasvědčující tomu, že přeměna zhorší dobytnost jeho pohledávky. Soud zřídí dostatečné zajištění podle slušného uvážení s ohledem na druh a výši pohledávky. </w:t>
      </w:r>
    </w:p>
    <w:p w14:paraId="0000000F" w14:textId="77777777" w:rsidR="00B24AB6" w:rsidRDefault="00000000">
      <w:pPr>
        <w:spacing w:after="200"/>
      </w:pPr>
      <w:r>
        <w:t xml:space="preserve">O zřízení dostatečného zajištění rozhodne soud usnesením. Účinky zajištění nastávají nejdříve dnem, kdy se stal zápis přeměny do obchodního rejstříku účinným vůči třetím osobám. </w:t>
      </w:r>
    </w:p>
    <w:p w14:paraId="00000010" w14:textId="77777777" w:rsidR="00B24AB6" w:rsidRDefault="00000000">
      <w:pPr>
        <w:spacing w:after="200"/>
      </w:pPr>
      <w:r>
        <w:t xml:space="preserve">Právo na dostatečné zajištění musí být uplatněno u soudu do 3 měsíců ode dne zveřejnění projektu přeměny podle § 33 Zákona o přeměnách nebo jeho uveřejnění podle § 33a Zákona o přeměnách, jinak zaniká. Podání návrhu nebrání zápisu přeměny do obchodního rejstříku. </w:t>
      </w:r>
    </w:p>
    <w:p w14:paraId="00000011" w14:textId="77777777" w:rsidR="00B24AB6" w:rsidRDefault="00000000">
      <w:pPr>
        <w:spacing w:after="200"/>
      </w:pPr>
      <w:r>
        <w:t>Právo na poskytnutí jistoty nemají věřitelé, kteří mají právo na přednostní uspokojení svých pohledávek v insolvenčním řízení, nebo kteří se pro účely insolvenčního řízení považují za zajištěné věřitele.</w:t>
      </w:r>
    </w:p>
    <w:p w14:paraId="00000012" w14:textId="77777777" w:rsidR="00B24AB6" w:rsidRDefault="00000000">
      <w:pPr>
        <w:spacing w:after="200"/>
      </w:pPr>
      <w:r>
        <w:lastRenderedPageBreak/>
        <w:t xml:space="preserve">Žádná ze Zúčastněných společností nevydala (ve smyslu § 37 Zákona o přeměnách) žádné vyměnitelné nebo prioritní dluhopisy, ani jiné účastnické zaknihované cenné papíry, s nimiž jsou spojena zvláštní práva. Práva vlastníků dluhopisů podle zvláštního zákona nejsou § 36 a § 37 Zákona o přeměnách dotčena. </w:t>
      </w:r>
    </w:p>
    <w:p w14:paraId="00000013" w14:textId="77777777" w:rsidR="00B24AB6" w:rsidRDefault="00000000">
      <w:pPr>
        <w:spacing w:after="200"/>
        <w:rPr>
          <w:b/>
        </w:rPr>
      </w:pPr>
      <w:r>
        <w:rPr>
          <w:b/>
        </w:rPr>
        <w:t>2. Zúčastněné společnosti tímto upozorňují zástupce zaměstnanců, popř. zaměstnance na následující práva v souvislosti s Přeměnou:</w:t>
      </w:r>
    </w:p>
    <w:p w14:paraId="00000014" w14:textId="77777777" w:rsidR="00B24AB6" w:rsidRDefault="00000000">
      <w:pPr>
        <w:spacing w:after="200"/>
      </w:pPr>
      <w:r>
        <w:t>Zúčastněné společnosti tímto upozorňují své zaměstnance, že jim v souvislosti s Přeměnou vznikají práva především podle zákona č. 262/2006 Sb., zákoníku práce (</w:t>
      </w:r>
      <w:r>
        <w:rPr>
          <w:b/>
        </w:rPr>
        <w:t>Zákoník práce</w:t>
      </w:r>
      <w:r>
        <w:t>), a to zejména právo na informace podle § 279 odst. 1 Zákoníku práce, případně další, zejména práva podle § 338 a násl. Zákoníku práce.</w:t>
      </w:r>
    </w:p>
    <w:p w14:paraId="00000015" w14:textId="77777777" w:rsidR="00B24AB6" w:rsidRDefault="00000000">
      <w:pPr>
        <w:spacing w:before="200" w:after="200"/>
        <w:rPr>
          <w:b/>
        </w:rPr>
      </w:pPr>
      <w:r>
        <w:rPr>
          <w:b/>
        </w:rPr>
        <w:t>3. Zúčastněné společnosti tímto upozorňují společníky na následující práva v souvislosti s Přeměnou:</w:t>
      </w:r>
    </w:p>
    <w:p w14:paraId="00000016" w14:textId="77777777" w:rsidR="00B24AB6" w:rsidRDefault="00000000">
      <w:pPr>
        <w:spacing w:before="200" w:after="200"/>
      </w:pPr>
      <w:r>
        <w:t>Společníci Zúčastněných společností mají podle Zákona o přeměnách zejména následující práva:</w:t>
      </w:r>
    </w:p>
    <w:p w14:paraId="00000017" w14:textId="77777777" w:rsidR="00B24AB6" w:rsidRDefault="00000000">
      <w:pPr>
        <w:numPr>
          <w:ilvl w:val="0"/>
          <w:numId w:val="1"/>
        </w:numPr>
        <w:spacing w:before="200"/>
      </w:pPr>
      <w:r>
        <w:t>právo na dorovnání,</w:t>
      </w:r>
    </w:p>
    <w:p w14:paraId="00000018" w14:textId="77777777" w:rsidR="00B24AB6" w:rsidRDefault="00000000">
      <w:pPr>
        <w:numPr>
          <w:ilvl w:val="0"/>
          <w:numId w:val="1"/>
        </w:numPr>
      </w:pPr>
      <w:r>
        <w:t>práva na výměnu podílů při rozdělení,</w:t>
      </w:r>
    </w:p>
    <w:p w14:paraId="00000019" w14:textId="77777777" w:rsidR="00B24AB6" w:rsidRDefault="00000000">
      <w:pPr>
        <w:numPr>
          <w:ilvl w:val="0"/>
          <w:numId w:val="1"/>
        </w:numPr>
      </w:pPr>
      <w:r>
        <w:t>práva na náhradu škody,</w:t>
      </w:r>
    </w:p>
    <w:p w14:paraId="0000001A" w14:textId="77777777" w:rsidR="00B24AB6" w:rsidRDefault="00000000">
      <w:pPr>
        <w:numPr>
          <w:ilvl w:val="0"/>
          <w:numId w:val="1"/>
        </w:numPr>
        <w:spacing w:after="200"/>
      </w:pPr>
      <w:r>
        <w:t>práva podat návrh na určení neplatnosti projektu přeměny a návrh na vyslovení neplatnosti rozhodnutí o schválení přeměny.</w:t>
      </w:r>
    </w:p>
    <w:p w14:paraId="0000001B" w14:textId="77777777" w:rsidR="00B24AB6" w:rsidRDefault="00000000">
      <w:pPr>
        <w:spacing w:before="200" w:after="200"/>
      </w:pPr>
      <w:r>
        <w:t>Společníci Zúčastněných společností mají podle § 34 Zákona o přeměnách rovněž právo žádat informace, jež se týkají ostatních Zúčastněných společností, jsou-li důležité z hlediska přeměny, a to ode dne zveřejnění oznámení o uložení projektu přeměny do sbírky listin nebo uveřejnění projektu přeměny způsobem podle § 33a Zákona o přeměnách. Pokud společníci Zúčastněných společností souhlasili s tím, že daná Zúčastněná společnost bude k poskytování informací využívat elektronické prostředky, mohou jim být kopie listin zasílány elektronicky. Souhlas lze dát jakýmkoliv způsobem, z něhož plyne tato vůle společníků Zúčastněné společnosti.</w:t>
      </w:r>
    </w:p>
    <w:p w14:paraId="0000001C" w14:textId="77777777" w:rsidR="00B24AB6" w:rsidRDefault="00B24AB6">
      <w:pPr>
        <w:spacing w:before="200" w:after="200"/>
      </w:pPr>
    </w:p>
    <w:p w14:paraId="0000001D" w14:textId="77777777" w:rsidR="00B24AB6" w:rsidRDefault="00000000">
      <w:r>
        <w:t xml:space="preserve">S &amp; </w:t>
      </w:r>
      <w:proofErr w:type="gramStart"/>
      <w:r>
        <w:t>S</w:t>
      </w:r>
      <w:proofErr w:type="gramEnd"/>
      <w:r>
        <w:t xml:space="preserve"> vzduchotechnika, s r.o.</w:t>
      </w:r>
      <w:r>
        <w:tab/>
      </w:r>
      <w:r>
        <w:tab/>
      </w:r>
      <w:r>
        <w:tab/>
      </w:r>
      <w:r>
        <w:tab/>
        <w:t>Sedlák &amp; Sedlák reality s.r.o.</w:t>
      </w:r>
    </w:p>
    <w:bookmarkEnd w:id="0"/>
    <w:bookmarkEnd w:id="1"/>
    <w:p w14:paraId="0000001F" w14:textId="0CFE8B49" w:rsidR="00B24AB6" w:rsidRDefault="00000000">
      <w:r>
        <w:tab/>
      </w:r>
      <w:r>
        <w:tab/>
      </w:r>
      <w:r>
        <w:tab/>
      </w:r>
    </w:p>
    <w:sectPr w:rsidR="00B24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1133" w:bottom="1133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8C2DF" w14:textId="77777777" w:rsidR="00C439BC" w:rsidRDefault="00C439BC" w:rsidP="002E43E6">
      <w:pPr>
        <w:spacing w:line="240" w:lineRule="auto"/>
      </w:pPr>
      <w:r>
        <w:separator/>
      </w:r>
    </w:p>
  </w:endnote>
  <w:endnote w:type="continuationSeparator" w:id="0">
    <w:p w14:paraId="0F5C6A19" w14:textId="77777777" w:rsidR="00C439BC" w:rsidRDefault="00C439BC" w:rsidP="002E4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FD29" w14:textId="77777777" w:rsidR="002E43E6" w:rsidRDefault="002E43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DF7D" w14:textId="77777777" w:rsidR="002E43E6" w:rsidRDefault="002E43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B5A6" w14:textId="77777777" w:rsidR="002E43E6" w:rsidRDefault="002E43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C3360" w14:textId="77777777" w:rsidR="00C439BC" w:rsidRDefault="00C439BC" w:rsidP="002E43E6">
      <w:pPr>
        <w:spacing w:line="240" w:lineRule="auto"/>
      </w:pPr>
      <w:r>
        <w:separator/>
      </w:r>
    </w:p>
  </w:footnote>
  <w:footnote w:type="continuationSeparator" w:id="0">
    <w:p w14:paraId="1198D5E0" w14:textId="77777777" w:rsidR="00C439BC" w:rsidRDefault="00C439BC" w:rsidP="002E4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97D6" w14:textId="77777777" w:rsidR="002E43E6" w:rsidRDefault="002E43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571B" w14:textId="77777777" w:rsidR="002E43E6" w:rsidRDefault="002E43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40A9F" w14:textId="77777777" w:rsidR="002E43E6" w:rsidRDefault="002E43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06264"/>
    <w:multiLevelType w:val="multilevel"/>
    <w:tmpl w:val="CE7CE6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4502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B6"/>
    <w:rsid w:val="002E43E6"/>
    <w:rsid w:val="00B24AB6"/>
    <w:rsid w:val="00C439BC"/>
    <w:rsid w:val="00E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4296E"/>
  <w15:docId w15:val="{3608398B-2039-3F45-B2EA-428F1D0B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E43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3E6"/>
  </w:style>
  <w:style w:type="paragraph" w:styleId="Zpat">
    <w:name w:val="footer"/>
    <w:basedOn w:val="Normln"/>
    <w:link w:val="ZpatChar"/>
    <w:uiPriority w:val="99"/>
    <w:unhideWhenUsed/>
    <w:rsid w:val="002E43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4266</Characters>
  <Application>Microsoft Office Word</Application>
  <DocSecurity>0</DocSecurity>
  <Lines>35</Lines>
  <Paragraphs>9</Paragraphs>
  <ScaleCrop>false</ScaleCrop>
  <Company>NOVALIA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Cisar</cp:lastModifiedBy>
  <cp:revision>2</cp:revision>
  <dcterms:created xsi:type="dcterms:W3CDTF">2024-11-15T09:56:00Z</dcterms:created>
  <dcterms:modified xsi:type="dcterms:W3CDTF">2024-11-15T09:57:00Z</dcterms:modified>
</cp:coreProperties>
</file>